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FE" w:rsidRPr="00B21652" w:rsidRDefault="00A134BF" w:rsidP="00A134BF">
      <w:pPr>
        <w:spacing w:after="0"/>
        <w:rPr>
          <w:b/>
          <w:sz w:val="24"/>
          <w:szCs w:val="24"/>
        </w:rPr>
      </w:pPr>
      <w:r w:rsidRPr="00B21652">
        <w:rPr>
          <w:b/>
          <w:sz w:val="24"/>
          <w:szCs w:val="24"/>
        </w:rPr>
        <w:t>City of Westminster</w:t>
      </w:r>
      <w:r w:rsidRPr="00B21652">
        <w:rPr>
          <w:b/>
          <w:sz w:val="24"/>
          <w:szCs w:val="24"/>
        </w:rPr>
        <w:tab/>
      </w:r>
      <w:r w:rsidRPr="00B21652">
        <w:rPr>
          <w:b/>
          <w:sz w:val="24"/>
          <w:szCs w:val="24"/>
        </w:rPr>
        <w:tab/>
        <w:t>Pesticide Options for Emerald Ash Borer</w:t>
      </w:r>
    </w:p>
    <w:p w:rsidR="00A134BF" w:rsidRPr="00021925" w:rsidRDefault="00A134BF" w:rsidP="0093708D">
      <w:pPr>
        <w:spacing w:after="0"/>
        <w:rPr>
          <w:b/>
          <w:sz w:val="20"/>
          <w:szCs w:val="20"/>
        </w:rPr>
      </w:pPr>
    </w:p>
    <w:p w:rsidR="00A134BF" w:rsidRPr="00B21652" w:rsidRDefault="00A134BF" w:rsidP="00A134BF">
      <w:pPr>
        <w:spacing w:after="0"/>
        <w:rPr>
          <w:sz w:val="20"/>
          <w:szCs w:val="20"/>
        </w:rPr>
      </w:pPr>
      <w:r w:rsidRPr="00B21652">
        <w:rPr>
          <w:sz w:val="20"/>
          <w:szCs w:val="20"/>
        </w:rPr>
        <w:t xml:space="preserve">You can find more information about emerald ash borer (EAB) at www.EABcolorado.com. </w:t>
      </w:r>
      <w:r w:rsidR="00281EDD">
        <w:rPr>
          <w:sz w:val="20"/>
          <w:szCs w:val="20"/>
        </w:rPr>
        <w:t>Contact Westminster</w:t>
      </w:r>
      <w:r w:rsidR="0093708D">
        <w:rPr>
          <w:sz w:val="20"/>
          <w:szCs w:val="20"/>
        </w:rPr>
        <w:t xml:space="preserve"> City Forester with questions: </w:t>
      </w:r>
      <w:r w:rsidR="0093708D" w:rsidRPr="0093708D">
        <w:rPr>
          <w:sz w:val="20"/>
          <w:szCs w:val="20"/>
        </w:rPr>
        <w:t>John Kasza</w:t>
      </w:r>
      <w:r w:rsidR="0093708D">
        <w:rPr>
          <w:sz w:val="20"/>
          <w:szCs w:val="20"/>
        </w:rPr>
        <w:t xml:space="preserve">, 303-658-2559, </w:t>
      </w:r>
      <w:hyperlink r:id="rId6" w:history="1">
        <w:r w:rsidR="0093708D" w:rsidRPr="00AA4B0E">
          <w:rPr>
            <w:rStyle w:val="Hyperlink"/>
            <w:sz w:val="20"/>
            <w:szCs w:val="20"/>
          </w:rPr>
          <w:t>jkasza@cityofwestminster.us</w:t>
        </w:r>
      </w:hyperlink>
      <w:r w:rsidR="0093708D">
        <w:rPr>
          <w:sz w:val="20"/>
          <w:szCs w:val="20"/>
        </w:rPr>
        <w:t xml:space="preserve">. </w:t>
      </w:r>
    </w:p>
    <w:p w:rsidR="00A134BF" w:rsidRPr="00B21652" w:rsidRDefault="00A134BF" w:rsidP="00A134BF">
      <w:pPr>
        <w:spacing w:after="0"/>
        <w:rPr>
          <w:sz w:val="20"/>
          <w:szCs w:val="20"/>
        </w:rPr>
      </w:pPr>
    </w:p>
    <w:p w:rsidR="00A134BF" w:rsidRPr="00B21652" w:rsidRDefault="00A134BF" w:rsidP="00A134BF">
      <w:pPr>
        <w:spacing w:after="0"/>
        <w:rPr>
          <w:sz w:val="20"/>
          <w:szCs w:val="20"/>
        </w:rPr>
      </w:pPr>
      <w:r w:rsidRPr="00B21652">
        <w:rPr>
          <w:sz w:val="20"/>
          <w:szCs w:val="20"/>
        </w:rPr>
        <w:t>Before making a decision to treat an ash tree, keep in mind that not every tree can or should be saved. Trees that are in poor condition, have structural defects or previous insect damage, are in an undesirable location (under power lines, causing hardscape damage, etc.), or trees that are not in a site that receives adequate irrigation should not be treated. Because pesticide treatments must continue for an indefinite period, smaller trees (less than 8 inches in diameter) should be considered for removal and replanting with other types of trees to increase diversity.</w:t>
      </w:r>
    </w:p>
    <w:p w:rsidR="00A134BF" w:rsidRPr="00B21652" w:rsidRDefault="00A134BF" w:rsidP="00A134BF">
      <w:pPr>
        <w:spacing w:after="0"/>
        <w:rPr>
          <w:sz w:val="20"/>
          <w:szCs w:val="20"/>
        </w:rPr>
      </w:pPr>
    </w:p>
    <w:p w:rsidR="004B27D5" w:rsidRDefault="00A134BF" w:rsidP="00A134BF">
      <w:pPr>
        <w:spacing w:after="0"/>
        <w:rPr>
          <w:sz w:val="20"/>
          <w:szCs w:val="20"/>
        </w:rPr>
      </w:pPr>
      <w:r w:rsidRPr="00B21652">
        <w:rPr>
          <w:sz w:val="20"/>
          <w:szCs w:val="20"/>
        </w:rPr>
        <w:t xml:space="preserve">The following </w:t>
      </w:r>
      <w:r w:rsidR="004B27D5" w:rsidRPr="00B21652">
        <w:rPr>
          <w:sz w:val="20"/>
          <w:szCs w:val="20"/>
        </w:rPr>
        <w:t xml:space="preserve">products are the most commonly used for EAB. Take your time to gather all the information available to determine if treating your ash trees is the right decision and if you do choose to treat your trees, choose the best product for your particular situation. </w:t>
      </w:r>
      <w:r w:rsidR="00F9173B">
        <w:rPr>
          <w:sz w:val="20"/>
          <w:szCs w:val="20"/>
        </w:rPr>
        <w:t xml:space="preserve">It is recommended you hire a reputable, experienced pesticide applicator or certified arborist. </w:t>
      </w:r>
      <w:r w:rsidR="004B27D5" w:rsidRPr="00B21652">
        <w:rPr>
          <w:sz w:val="20"/>
          <w:szCs w:val="20"/>
        </w:rPr>
        <w:t>The information below is compiled from available EAB research and resources.</w:t>
      </w:r>
    </w:p>
    <w:p w:rsidR="00021925" w:rsidRPr="00B21652" w:rsidRDefault="00021925" w:rsidP="00A134BF">
      <w:pPr>
        <w:spacing w:after="0"/>
        <w:rPr>
          <w:sz w:val="20"/>
          <w:szCs w:val="20"/>
        </w:rPr>
      </w:pPr>
      <w:bookmarkStart w:id="0" w:name="_GoBack"/>
      <w:bookmarkEnd w:id="0"/>
    </w:p>
    <w:tbl>
      <w:tblPr>
        <w:tblStyle w:val="TableGrid"/>
        <w:tblW w:w="0" w:type="auto"/>
        <w:tblLook w:val="04A0" w:firstRow="1" w:lastRow="0" w:firstColumn="1" w:lastColumn="0" w:noHBand="0" w:noVBand="1"/>
      </w:tblPr>
      <w:tblGrid>
        <w:gridCol w:w="3237"/>
        <w:gridCol w:w="3237"/>
        <w:gridCol w:w="3238"/>
        <w:gridCol w:w="3238"/>
      </w:tblGrid>
      <w:tr w:rsidR="004B27D5" w:rsidRPr="00B21652" w:rsidTr="004B27D5">
        <w:tc>
          <w:tcPr>
            <w:tcW w:w="3237" w:type="dxa"/>
          </w:tcPr>
          <w:p w:rsidR="004B27D5" w:rsidRPr="00B21652" w:rsidRDefault="004B27D5" w:rsidP="00A134BF">
            <w:pPr>
              <w:rPr>
                <w:b/>
                <w:sz w:val="20"/>
                <w:szCs w:val="20"/>
              </w:rPr>
            </w:pPr>
            <w:r w:rsidRPr="00B21652">
              <w:rPr>
                <w:b/>
                <w:sz w:val="20"/>
                <w:szCs w:val="20"/>
              </w:rPr>
              <w:t>Product Name</w:t>
            </w:r>
          </w:p>
        </w:tc>
        <w:tc>
          <w:tcPr>
            <w:tcW w:w="3237" w:type="dxa"/>
          </w:tcPr>
          <w:p w:rsidR="004B27D5" w:rsidRPr="00B21652" w:rsidRDefault="004B27D5" w:rsidP="00A134BF">
            <w:pPr>
              <w:rPr>
                <w:b/>
                <w:sz w:val="20"/>
                <w:szCs w:val="20"/>
              </w:rPr>
            </w:pPr>
            <w:r w:rsidRPr="00B21652">
              <w:rPr>
                <w:b/>
                <w:sz w:val="20"/>
                <w:szCs w:val="20"/>
              </w:rPr>
              <w:t>Pros</w:t>
            </w:r>
          </w:p>
        </w:tc>
        <w:tc>
          <w:tcPr>
            <w:tcW w:w="3238" w:type="dxa"/>
          </w:tcPr>
          <w:p w:rsidR="004B27D5" w:rsidRPr="00B21652" w:rsidRDefault="004B27D5" w:rsidP="00A134BF">
            <w:pPr>
              <w:rPr>
                <w:b/>
                <w:sz w:val="20"/>
                <w:szCs w:val="20"/>
              </w:rPr>
            </w:pPr>
            <w:r w:rsidRPr="00B21652">
              <w:rPr>
                <w:b/>
                <w:sz w:val="20"/>
                <w:szCs w:val="20"/>
              </w:rPr>
              <w:t>Cons</w:t>
            </w:r>
          </w:p>
        </w:tc>
        <w:tc>
          <w:tcPr>
            <w:tcW w:w="3238" w:type="dxa"/>
          </w:tcPr>
          <w:p w:rsidR="004B27D5" w:rsidRPr="00B21652" w:rsidRDefault="004B27D5" w:rsidP="00A134BF">
            <w:pPr>
              <w:rPr>
                <w:b/>
                <w:sz w:val="20"/>
                <w:szCs w:val="20"/>
              </w:rPr>
            </w:pPr>
            <w:r w:rsidRPr="00B21652">
              <w:rPr>
                <w:b/>
                <w:sz w:val="20"/>
                <w:szCs w:val="20"/>
              </w:rPr>
              <w:t>Comments</w:t>
            </w:r>
          </w:p>
        </w:tc>
      </w:tr>
      <w:tr w:rsidR="004B27D5" w:rsidRPr="00B21652" w:rsidTr="004B27D5">
        <w:tc>
          <w:tcPr>
            <w:tcW w:w="3237" w:type="dxa"/>
          </w:tcPr>
          <w:p w:rsidR="004B27D5" w:rsidRPr="00B21652" w:rsidRDefault="00A255BE" w:rsidP="00A134BF">
            <w:pPr>
              <w:rPr>
                <w:sz w:val="20"/>
                <w:szCs w:val="20"/>
              </w:rPr>
            </w:pPr>
            <w:r w:rsidRPr="00B21652">
              <w:rPr>
                <w:sz w:val="20"/>
                <w:szCs w:val="20"/>
              </w:rPr>
              <w:t>TREE-a</w:t>
            </w:r>
            <w:r w:rsidR="004B27D5" w:rsidRPr="00B21652">
              <w:rPr>
                <w:sz w:val="20"/>
                <w:szCs w:val="20"/>
              </w:rPr>
              <w:t>ge</w:t>
            </w:r>
          </w:p>
          <w:p w:rsidR="004B27D5" w:rsidRPr="00B21652" w:rsidRDefault="004B27D5" w:rsidP="00A134BF">
            <w:pPr>
              <w:rPr>
                <w:sz w:val="20"/>
                <w:szCs w:val="20"/>
              </w:rPr>
            </w:pPr>
            <w:r w:rsidRPr="00B21652">
              <w:rPr>
                <w:sz w:val="20"/>
                <w:szCs w:val="20"/>
              </w:rPr>
              <w:t>(emamectin benzoate)</w:t>
            </w:r>
          </w:p>
        </w:tc>
        <w:tc>
          <w:tcPr>
            <w:tcW w:w="3237" w:type="dxa"/>
          </w:tcPr>
          <w:p w:rsidR="004B27D5" w:rsidRPr="00B21652" w:rsidRDefault="00A255BE" w:rsidP="00A255BE">
            <w:pPr>
              <w:pStyle w:val="ListParagraph"/>
              <w:numPr>
                <w:ilvl w:val="0"/>
                <w:numId w:val="1"/>
              </w:numPr>
              <w:rPr>
                <w:sz w:val="20"/>
                <w:szCs w:val="20"/>
              </w:rPr>
            </w:pPr>
            <w:r w:rsidRPr="00B21652">
              <w:rPr>
                <w:sz w:val="20"/>
                <w:szCs w:val="20"/>
              </w:rPr>
              <w:t>Most effective product on the market for EAB control</w:t>
            </w:r>
            <w:r w:rsidR="00A40FE9" w:rsidRPr="00B21652">
              <w:rPr>
                <w:sz w:val="20"/>
                <w:szCs w:val="20"/>
              </w:rPr>
              <w:t>.</w:t>
            </w:r>
          </w:p>
          <w:p w:rsidR="00A255BE" w:rsidRPr="00B21652" w:rsidRDefault="00A255BE" w:rsidP="00A255BE">
            <w:pPr>
              <w:pStyle w:val="ListParagraph"/>
              <w:numPr>
                <w:ilvl w:val="0"/>
                <w:numId w:val="1"/>
              </w:numPr>
              <w:rPr>
                <w:sz w:val="20"/>
                <w:szCs w:val="20"/>
              </w:rPr>
            </w:pPr>
            <w:r w:rsidRPr="00B21652">
              <w:rPr>
                <w:sz w:val="20"/>
                <w:szCs w:val="20"/>
              </w:rPr>
              <w:t>Most effective control option for larger diameter trees (trees</w:t>
            </w:r>
            <w:r w:rsidR="0031235C" w:rsidRPr="00B21652">
              <w:rPr>
                <w:sz w:val="20"/>
                <w:szCs w:val="20"/>
              </w:rPr>
              <w:t xml:space="preserve"> over</w:t>
            </w:r>
            <w:r w:rsidRPr="00B21652">
              <w:rPr>
                <w:sz w:val="20"/>
                <w:szCs w:val="20"/>
              </w:rPr>
              <w:t xml:space="preserve"> 18” diameter)</w:t>
            </w:r>
            <w:r w:rsidR="00A40FE9" w:rsidRPr="00B21652">
              <w:rPr>
                <w:sz w:val="20"/>
                <w:szCs w:val="20"/>
              </w:rPr>
              <w:t>.</w:t>
            </w:r>
          </w:p>
          <w:p w:rsidR="00A255BE" w:rsidRPr="00B21652" w:rsidRDefault="00A255BE" w:rsidP="00A255BE">
            <w:pPr>
              <w:pStyle w:val="ListParagraph"/>
              <w:numPr>
                <w:ilvl w:val="0"/>
                <w:numId w:val="1"/>
              </w:numPr>
              <w:rPr>
                <w:sz w:val="20"/>
                <w:szCs w:val="20"/>
              </w:rPr>
            </w:pPr>
            <w:r w:rsidRPr="00B21652">
              <w:rPr>
                <w:sz w:val="20"/>
                <w:szCs w:val="20"/>
              </w:rPr>
              <w:t>One application works well for a</w:t>
            </w:r>
            <w:r w:rsidR="00577A44">
              <w:rPr>
                <w:sz w:val="20"/>
                <w:szCs w:val="20"/>
              </w:rPr>
              <w:t>t least two years and possibly three years</w:t>
            </w:r>
            <w:r w:rsidR="00A40FE9" w:rsidRPr="00B21652">
              <w:rPr>
                <w:sz w:val="20"/>
                <w:szCs w:val="20"/>
              </w:rPr>
              <w:t>.</w:t>
            </w:r>
          </w:p>
        </w:tc>
        <w:tc>
          <w:tcPr>
            <w:tcW w:w="3238" w:type="dxa"/>
          </w:tcPr>
          <w:p w:rsidR="004B27D5" w:rsidRPr="00B21652" w:rsidRDefault="00A255BE" w:rsidP="00A255BE">
            <w:pPr>
              <w:pStyle w:val="ListParagraph"/>
              <w:numPr>
                <w:ilvl w:val="0"/>
                <w:numId w:val="1"/>
              </w:numPr>
              <w:rPr>
                <w:sz w:val="20"/>
                <w:szCs w:val="20"/>
              </w:rPr>
            </w:pPr>
            <w:r w:rsidRPr="00B21652">
              <w:rPr>
                <w:sz w:val="20"/>
                <w:szCs w:val="20"/>
              </w:rPr>
              <w:t>Must be injected into trunk of tree; injection process wounds the tree. Impacts of wounding of ash via injection in Colorado not documented.</w:t>
            </w:r>
          </w:p>
          <w:p w:rsidR="00A255BE" w:rsidRPr="00B21652" w:rsidRDefault="00A255BE" w:rsidP="00A255BE">
            <w:pPr>
              <w:pStyle w:val="ListParagraph"/>
              <w:numPr>
                <w:ilvl w:val="0"/>
                <w:numId w:val="1"/>
              </w:numPr>
              <w:rPr>
                <w:sz w:val="20"/>
                <w:szCs w:val="20"/>
              </w:rPr>
            </w:pPr>
            <w:r w:rsidRPr="00B21652">
              <w:rPr>
                <w:sz w:val="20"/>
                <w:szCs w:val="20"/>
              </w:rPr>
              <w:t>Product may only be applied by State of Colorado licensed pesticide applicator.</w:t>
            </w:r>
          </w:p>
        </w:tc>
        <w:tc>
          <w:tcPr>
            <w:tcW w:w="3238" w:type="dxa"/>
          </w:tcPr>
          <w:p w:rsidR="00A829D9" w:rsidRPr="00B21652" w:rsidRDefault="00A255BE" w:rsidP="00A829D9">
            <w:pPr>
              <w:pStyle w:val="ListParagraph"/>
              <w:numPr>
                <w:ilvl w:val="0"/>
                <w:numId w:val="1"/>
              </w:numPr>
              <w:rPr>
                <w:sz w:val="20"/>
                <w:szCs w:val="20"/>
              </w:rPr>
            </w:pPr>
            <w:r w:rsidRPr="00B21652">
              <w:rPr>
                <w:sz w:val="20"/>
                <w:szCs w:val="20"/>
              </w:rPr>
              <w:t>Systemic insecticide applied via trunk injection by a licensed pesticide applicator.</w:t>
            </w:r>
            <w:r w:rsidR="0031235C" w:rsidRPr="00B21652">
              <w:rPr>
                <w:sz w:val="20"/>
                <w:szCs w:val="20"/>
              </w:rPr>
              <w:t xml:space="preserve"> </w:t>
            </w:r>
          </w:p>
          <w:p w:rsidR="00A829D9" w:rsidRPr="00B21652" w:rsidRDefault="0031235C" w:rsidP="00A829D9">
            <w:pPr>
              <w:pStyle w:val="ListParagraph"/>
              <w:numPr>
                <w:ilvl w:val="0"/>
                <w:numId w:val="1"/>
              </w:numPr>
              <w:rPr>
                <w:sz w:val="20"/>
                <w:szCs w:val="20"/>
              </w:rPr>
            </w:pPr>
            <w:r w:rsidRPr="00B21652">
              <w:rPr>
                <w:sz w:val="20"/>
                <w:szCs w:val="20"/>
              </w:rPr>
              <w:t xml:space="preserve">Restricted use pesticide that is 99% effective. </w:t>
            </w:r>
          </w:p>
          <w:p w:rsidR="00A829D9" w:rsidRPr="00B21652" w:rsidRDefault="0031235C" w:rsidP="00A829D9">
            <w:pPr>
              <w:pStyle w:val="ListParagraph"/>
              <w:numPr>
                <w:ilvl w:val="0"/>
                <w:numId w:val="1"/>
              </w:numPr>
              <w:rPr>
                <w:sz w:val="20"/>
                <w:szCs w:val="20"/>
              </w:rPr>
            </w:pPr>
            <w:r w:rsidRPr="00B21652">
              <w:rPr>
                <w:sz w:val="20"/>
                <w:szCs w:val="20"/>
              </w:rPr>
              <w:t xml:space="preserve">Few environmental risks. </w:t>
            </w:r>
          </w:p>
          <w:p w:rsidR="004B27D5" w:rsidRPr="00B21652" w:rsidRDefault="00577A44" w:rsidP="00A829D9">
            <w:pPr>
              <w:pStyle w:val="ListParagraph"/>
              <w:numPr>
                <w:ilvl w:val="0"/>
                <w:numId w:val="1"/>
              </w:numPr>
              <w:rPr>
                <w:sz w:val="20"/>
                <w:szCs w:val="20"/>
              </w:rPr>
            </w:pPr>
            <w:r>
              <w:rPr>
                <w:sz w:val="20"/>
                <w:szCs w:val="20"/>
              </w:rPr>
              <w:t>Useful for trees between 8</w:t>
            </w:r>
            <w:r w:rsidR="0031235C" w:rsidRPr="00B21652">
              <w:rPr>
                <w:sz w:val="20"/>
                <w:szCs w:val="20"/>
              </w:rPr>
              <w:t xml:space="preserve">” and 24” diameters. </w:t>
            </w:r>
          </w:p>
        </w:tc>
      </w:tr>
      <w:tr w:rsidR="004B27D5" w:rsidRPr="00B21652" w:rsidTr="004B27D5">
        <w:tc>
          <w:tcPr>
            <w:tcW w:w="3237" w:type="dxa"/>
          </w:tcPr>
          <w:p w:rsidR="004B27D5" w:rsidRPr="00B21652" w:rsidRDefault="00A255BE" w:rsidP="00A134BF">
            <w:pPr>
              <w:rPr>
                <w:sz w:val="20"/>
                <w:szCs w:val="20"/>
              </w:rPr>
            </w:pPr>
            <w:r w:rsidRPr="00B21652">
              <w:rPr>
                <w:sz w:val="20"/>
                <w:szCs w:val="20"/>
              </w:rPr>
              <w:t>TreeAzin</w:t>
            </w:r>
          </w:p>
          <w:p w:rsidR="00A255BE" w:rsidRPr="00B21652" w:rsidRDefault="00A255BE" w:rsidP="00A134BF">
            <w:pPr>
              <w:rPr>
                <w:sz w:val="20"/>
                <w:szCs w:val="20"/>
              </w:rPr>
            </w:pPr>
            <w:r w:rsidRPr="00B21652">
              <w:rPr>
                <w:sz w:val="20"/>
                <w:szCs w:val="20"/>
              </w:rPr>
              <w:t>(azadirachtin – a neem seed oil derivative)</w:t>
            </w:r>
          </w:p>
        </w:tc>
        <w:tc>
          <w:tcPr>
            <w:tcW w:w="3237" w:type="dxa"/>
          </w:tcPr>
          <w:p w:rsidR="004B27D5" w:rsidRPr="00B21652" w:rsidRDefault="00A255BE" w:rsidP="00A255BE">
            <w:pPr>
              <w:pStyle w:val="ListParagraph"/>
              <w:numPr>
                <w:ilvl w:val="0"/>
                <w:numId w:val="2"/>
              </w:numPr>
              <w:rPr>
                <w:sz w:val="20"/>
                <w:szCs w:val="20"/>
              </w:rPr>
            </w:pPr>
            <w:r w:rsidRPr="00B21652">
              <w:rPr>
                <w:sz w:val="20"/>
                <w:szCs w:val="20"/>
              </w:rPr>
              <w:t>OMRI (Organic Materials Research Institute) certified.</w:t>
            </w:r>
          </w:p>
          <w:p w:rsidR="00A255BE" w:rsidRPr="00B21652" w:rsidRDefault="00A255BE" w:rsidP="00A255BE">
            <w:pPr>
              <w:pStyle w:val="ListParagraph"/>
              <w:numPr>
                <w:ilvl w:val="0"/>
                <w:numId w:val="2"/>
              </w:numPr>
              <w:rPr>
                <w:sz w:val="20"/>
                <w:szCs w:val="20"/>
              </w:rPr>
            </w:pPr>
            <w:r w:rsidRPr="00B21652">
              <w:rPr>
                <w:sz w:val="20"/>
                <w:szCs w:val="20"/>
              </w:rPr>
              <w:t>Well-studied, showing minimal environmental impacts.</w:t>
            </w:r>
          </w:p>
          <w:p w:rsidR="00A255BE" w:rsidRPr="00B21652" w:rsidRDefault="00A255BE" w:rsidP="00A255BE">
            <w:pPr>
              <w:pStyle w:val="ListParagraph"/>
              <w:numPr>
                <w:ilvl w:val="0"/>
                <w:numId w:val="2"/>
              </w:numPr>
              <w:rPr>
                <w:sz w:val="20"/>
                <w:szCs w:val="20"/>
              </w:rPr>
            </w:pPr>
            <w:r w:rsidRPr="00B21652">
              <w:rPr>
                <w:sz w:val="20"/>
                <w:szCs w:val="20"/>
              </w:rPr>
              <w:t>Provides good control for first year and reasonable good control for second year.</w:t>
            </w:r>
          </w:p>
        </w:tc>
        <w:tc>
          <w:tcPr>
            <w:tcW w:w="3238" w:type="dxa"/>
          </w:tcPr>
          <w:p w:rsidR="00836855" w:rsidRPr="00B21652" w:rsidRDefault="00836855" w:rsidP="00836855">
            <w:pPr>
              <w:pStyle w:val="ListParagraph"/>
              <w:numPr>
                <w:ilvl w:val="0"/>
                <w:numId w:val="2"/>
              </w:numPr>
              <w:rPr>
                <w:sz w:val="20"/>
                <w:szCs w:val="20"/>
              </w:rPr>
            </w:pPr>
            <w:r w:rsidRPr="00B21652">
              <w:rPr>
                <w:sz w:val="20"/>
                <w:szCs w:val="20"/>
              </w:rPr>
              <w:t>Must be injected into trunk of tree; injection process wounds the tree. Impacts of wounding of ash via injection in Colorado not documented.</w:t>
            </w:r>
          </w:p>
          <w:p w:rsidR="004B27D5" w:rsidRPr="00B21652" w:rsidRDefault="00836855" w:rsidP="00836855">
            <w:pPr>
              <w:pStyle w:val="ListParagraph"/>
              <w:numPr>
                <w:ilvl w:val="0"/>
                <w:numId w:val="2"/>
              </w:numPr>
              <w:rPr>
                <w:sz w:val="20"/>
                <w:szCs w:val="20"/>
              </w:rPr>
            </w:pPr>
            <w:r w:rsidRPr="00B21652">
              <w:rPr>
                <w:sz w:val="20"/>
                <w:szCs w:val="20"/>
              </w:rPr>
              <w:t>Product may only be applied by State of Colorado licensed pesticide applicator.</w:t>
            </w:r>
          </w:p>
          <w:p w:rsidR="00836855" w:rsidRPr="00B21652" w:rsidRDefault="00836855" w:rsidP="00836855">
            <w:pPr>
              <w:pStyle w:val="ListParagraph"/>
              <w:numPr>
                <w:ilvl w:val="0"/>
                <w:numId w:val="2"/>
              </w:numPr>
              <w:rPr>
                <w:sz w:val="20"/>
                <w:szCs w:val="20"/>
              </w:rPr>
            </w:pPr>
            <w:r w:rsidRPr="00B21652">
              <w:rPr>
                <w:sz w:val="20"/>
                <w:szCs w:val="20"/>
              </w:rPr>
              <w:t>May be effective for two years under low-level infestations, but will likely need to be applied every year under heavy infestation.</w:t>
            </w:r>
          </w:p>
        </w:tc>
        <w:tc>
          <w:tcPr>
            <w:tcW w:w="3238" w:type="dxa"/>
          </w:tcPr>
          <w:p w:rsidR="004B27D5" w:rsidRPr="00B21652" w:rsidRDefault="00836855" w:rsidP="00A829D9">
            <w:pPr>
              <w:pStyle w:val="ListParagraph"/>
              <w:numPr>
                <w:ilvl w:val="0"/>
                <w:numId w:val="2"/>
              </w:numPr>
              <w:rPr>
                <w:sz w:val="20"/>
                <w:szCs w:val="20"/>
              </w:rPr>
            </w:pPr>
            <w:r w:rsidRPr="00B21652">
              <w:rPr>
                <w:sz w:val="20"/>
                <w:szCs w:val="20"/>
              </w:rPr>
              <w:t>Systemic insecticide applied via trunk injection by a licensed pesticide applicator.</w:t>
            </w:r>
          </w:p>
        </w:tc>
      </w:tr>
      <w:tr w:rsidR="004B27D5" w:rsidRPr="00B21652" w:rsidTr="004B27D5">
        <w:tc>
          <w:tcPr>
            <w:tcW w:w="3237" w:type="dxa"/>
          </w:tcPr>
          <w:p w:rsidR="004B27D5" w:rsidRPr="00B21652" w:rsidRDefault="00836855" w:rsidP="00A134BF">
            <w:pPr>
              <w:rPr>
                <w:sz w:val="20"/>
                <w:szCs w:val="20"/>
              </w:rPr>
            </w:pPr>
            <w:r w:rsidRPr="00B21652">
              <w:rPr>
                <w:sz w:val="20"/>
                <w:szCs w:val="20"/>
              </w:rPr>
              <w:lastRenderedPageBreak/>
              <w:t>Safari</w:t>
            </w:r>
          </w:p>
          <w:p w:rsidR="00836855" w:rsidRDefault="00836855" w:rsidP="00A134BF">
            <w:pPr>
              <w:rPr>
                <w:sz w:val="20"/>
                <w:szCs w:val="20"/>
              </w:rPr>
            </w:pPr>
            <w:r w:rsidRPr="00B21652">
              <w:rPr>
                <w:sz w:val="20"/>
                <w:szCs w:val="20"/>
              </w:rPr>
              <w:t>(dinotefuran)</w:t>
            </w:r>
          </w:p>
          <w:p w:rsidR="00577A44" w:rsidRPr="00B21652" w:rsidRDefault="00577A44" w:rsidP="00A134BF">
            <w:pPr>
              <w:rPr>
                <w:sz w:val="20"/>
                <w:szCs w:val="20"/>
              </w:rPr>
            </w:pPr>
          </w:p>
          <w:p w:rsidR="00A40FE9" w:rsidRPr="00B21652" w:rsidRDefault="00A40FE9" w:rsidP="00A134BF">
            <w:pPr>
              <w:rPr>
                <w:sz w:val="20"/>
                <w:szCs w:val="20"/>
              </w:rPr>
            </w:pPr>
            <w:r w:rsidRPr="00B21652">
              <w:rPr>
                <w:sz w:val="20"/>
                <w:szCs w:val="20"/>
              </w:rPr>
              <w:t>Other trade names:</w:t>
            </w:r>
          </w:p>
          <w:p w:rsidR="00A40FE9" w:rsidRPr="00B21652" w:rsidRDefault="00A40FE9" w:rsidP="00A134BF">
            <w:pPr>
              <w:rPr>
                <w:sz w:val="20"/>
                <w:szCs w:val="20"/>
              </w:rPr>
            </w:pPr>
            <w:r w:rsidRPr="00B21652">
              <w:rPr>
                <w:sz w:val="20"/>
                <w:szCs w:val="20"/>
              </w:rPr>
              <w:t>Zylam, Transtect</w:t>
            </w:r>
          </w:p>
          <w:p w:rsidR="00A40FE9" w:rsidRPr="00B21652" w:rsidRDefault="00A40FE9" w:rsidP="00A134BF">
            <w:pPr>
              <w:rPr>
                <w:sz w:val="20"/>
                <w:szCs w:val="20"/>
              </w:rPr>
            </w:pPr>
          </w:p>
        </w:tc>
        <w:tc>
          <w:tcPr>
            <w:tcW w:w="3237" w:type="dxa"/>
          </w:tcPr>
          <w:p w:rsidR="004B27D5" w:rsidRPr="00B21652" w:rsidRDefault="00836855" w:rsidP="00836855">
            <w:pPr>
              <w:pStyle w:val="ListParagraph"/>
              <w:numPr>
                <w:ilvl w:val="0"/>
                <w:numId w:val="3"/>
              </w:numPr>
              <w:rPr>
                <w:sz w:val="20"/>
                <w:szCs w:val="20"/>
              </w:rPr>
            </w:pPr>
            <w:r w:rsidRPr="00B21652">
              <w:rPr>
                <w:sz w:val="20"/>
                <w:szCs w:val="20"/>
              </w:rPr>
              <w:t>Applied as trunk spray to lower 4’ of trunk; no wounding of tree in application.</w:t>
            </w:r>
          </w:p>
          <w:p w:rsidR="00402F3E" w:rsidRPr="00B21652" w:rsidRDefault="00402F3E" w:rsidP="00836855">
            <w:pPr>
              <w:pStyle w:val="ListParagraph"/>
              <w:numPr>
                <w:ilvl w:val="0"/>
                <w:numId w:val="3"/>
              </w:numPr>
              <w:rPr>
                <w:sz w:val="20"/>
                <w:szCs w:val="20"/>
              </w:rPr>
            </w:pPr>
            <w:r w:rsidRPr="00B21652">
              <w:rPr>
                <w:sz w:val="20"/>
                <w:szCs w:val="20"/>
              </w:rPr>
              <w:t>Can be applied as a soil dench or injection.</w:t>
            </w:r>
          </w:p>
          <w:p w:rsidR="00836855" w:rsidRPr="00B21652" w:rsidRDefault="0031235C" w:rsidP="00836855">
            <w:pPr>
              <w:pStyle w:val="ListParagraph"/>
              <w:numPr>
                <w:ilvl w:val="0"/>
                <w:numId w:val="3"/>
              </w:numPr>
              <w:rPr>
                <w:sz w:val="20"/>
                <w:szCs w:val="20"/>
              </w:rPr>
            </w:pPr>
            <w:r w:rsidRPr="00B21652">
              <w:rPr>
                <w:sz w:val="20"/>
                <w:szCs w:val="20"/>
              </w:rPr>
              <w:t>Up to 60% e</w:t>
            </w:r>
            <w:r w:rsidR="00836855" w:rsidRPr="00B21652">
              <w:rPr>
                <w:sz w:val="20"/>
                <w:szCs w:val="20"/>
              </w:rPr>
              <w:t>ffective EAB control</w:t>
            </w:r>
            <w:r w:rsidRPr="00B21652">
              <w:rPr>
                <w:sz w:val="20"/>
                <w:szCs w:val="20"/>
              </w:rPr>
              <w:t>, less in trees over</w:t>
            </w:r>
            <w:r w:rsidR="00836855" w:rsidRPr="00B21652">
              <w:rPr>
                <w:sz w:val="20"/>
                <w:szCs w:val="20"/>
              </w:rPr>
              <w:t xml:space="preserve"> 18” diameter.</w:t>
            </w:r>
          </w:p>
          <w:p w:rsidR="00836855" w:rsidRPr="00B21652" w:rsidRDefault="00836855" w:rsidP="00836855">
            <w:pPr>
              <w:pStyle w:val="ListParagraph"/>
              <w:numPr>
                <w:ilvl w:val="0"/>
                <w:numId w:val="3"/>
              </w:numPr>
              <w:rPr>
                <w:sz w:val="20"/>
                <w:szCs w:val="20"/>
              </w:rPr>
            </w:pPr>
            <w:r w:rsidRPr="00B21652">
              <w:rPr>
                <w:sz w:val="20"/>
                <w:szCs w:val="20"/>
              </w:rPr>
              <w:t>Less expensive than trunk injected products on a per application basis.</w:t>
            </w:r>
          </w:p>
        </w:tc>
        <w:tc>
          <w:tcPr>
            <w:tcW w:w="3238" w:type="dxa"/>
          </w:tcPr>
          <w:p w:rsidR="004B27D5" w:rsidRPr="00B21652" w:rsidRDefault="00836855" w:rsidP="00836855">
            <w:pPr>
              <w:pStyle w:val="ListParagraph"/>
              <w:numPr>
                <w:ilvl w:val="0"/>
                <w:numId w:val="3"/>
              </w:numPr>
              <w:rPr>
                <w:sz w:val="20"/>
                <w:szCs w:val="20"/>
              </w:rPr>
            </w:pPr>
            <w:r w:rsidRPr="00B21652">
              <w:rPr>
                <w:sz w:val="20"/>
                <w:szCs w:val="20"/>
              </w:rPr>
              <w:t>Highly toxic to bees and other non-target animals.</w:t>
            </w:r>
          </w:p>
          <w:p w:rsidR="00836855" w:rsidRPr="00B21652" w:rsidRDefault="00836855" w:rsidP="00836855">
            <w:pPr>
              <w:pStyle w:val="ListParagraph"/>
              <w:numPr>
                <w:ilvl w:val="0"/>
                <w:numId w:val="3"/>
              </w:numPr>
              <w:rPr>
                <w:sz w:val="20"/>
                <w:szCs w:val="20"/>
              </w:rPr>
            </w:pPr>
            <w:r w:rsidRPr="00B21652">
              <w:rPr>
                <w:sz w:val="20"/>
                <w:szCs w:val="20"/>
              </w:rPr>
              <w:t>Available to commercial applicators only.</w:t>
            </w:r>
          </w:p>
          <w:p w:rsidR="00836855" w:rsidRPr="00B21652" w:rsidRDefault="00836855" w:rsidP="00836855">
            <w:pPr>
              <w:pStyle w:val="ListParagraph"/>
              <w:numPr>
                <w:ilvl w:val="0"/>
                <w:numId w:val="3"/>
              </w:numPr>
              <w:rPr>
                <w:sz w:val="20"/>
                <w:szCs w:val="20"/>
              </w:rPr>
            </w:pPr>
            <w:r w:rsidRPr="00B21652">
              <w:rPr>
                <w:sz w:val="20"/>
                <w:szCs w:val="20"/>
              </w:rPr>
              <w:t>Effective for only one year.</w:t>
            </w:r>
          </w:p>
          <w:p w:rsidR="00836855" w:rsidRPr="00B21652" w:rsidRDefault="00836855" w:rsidP="00836855">
            <w:pPr>
              <w:pStyle w:val="ListParagraph"/>
              <w:numPr>
                <w:ilvl w:val="0"/>
                <w:numId w:val="3"/>
              </w:numPr>
              <w:rPr>
                <w:sz w:val="20"/>
                <w:szCs w:val="20"/>
              </w:rPr>
            </w:pPr>
            <w:r w:rsidRPr="00B21652">
              <w:rPr>
                <w:sz w:val="20"/>
                <w:szCs w:val="20"/>
              </w:rPr>
              <w:t>Highly mobile in water</w:t>
            </w:r>
            <w:r w:rsidR="00402F3E" w:rsidRPr="00B21652">
              <w:rPr>
                <w:sz w:val="20"/>
                <w:szCs w:val="20"/>
              </w:rPr>
              <w:t xml:space="preserve"> and could leach into water bodies or groundwater</w:t>
            </w:r>
            <w:r w:rsidRPr="00B21652">
              <w:rPr>
                <w:sz w:val="20"/>
                <w:szCs w:val="20"/>
              </w:rPr>
              <w:t>.</w:t>
            </w:r>
          </w:p>
        </w:tc>
        <w:tc>
          <w:tcPr>
            <w:tcW w:w="3238" w:type="dxa"/>
          </w:tcPr>
          <w:p w:rsidR="00A829D9" w:rsidRPr="00B21652" w:rsidRDefault="00A40FE9" w:rsidP="00A829D9">
            <w:pPr>
              <w:pStyle w:val="ListParagraph"/>
              <w:numPr>
                <w:ilvl w:val="0"/>
                <w:numId w:val="3"/>
              </w:numPr>
              <w:rPr>
                <w:sz w:val="20"/>
                <w:szCs w:val="20"/>
              </w:rPr>
            </w:pPr>
            <w:r w:rsidRPr="00B21652">
              <w:rPr>
                <w:sz w:val="20"/>
                <w:szCs w:val="20"/>
              </w:rPr>
              <w:t>Non-invasive systemic trunk spray available only to licensed pesticide applicators.</w:t>
            </w:r>
          </w:p>
          <w:p w:rsidR="00A829D9" w:rsidRPr="00B21652" w:rsidRDefault="00A40FE9" w:rsidP="00A829D9">
            <w:pPr>
              <w:pStyle w:val="ListParagraph"/>
              <w:numPr>
                <w:ilvl w:val="0"/>
                <w:numId w:val="3"/>
              </w:numPr>
              <w:rPr>
                <w:sz w:val="20"/>
                <w:szCs w:val="20"/>
              </w:rPr>
            </w:pPr>
            <w:r w:rsidRPr="00B21652">
              <w:rPr>
                <w:sz w:val="20"/>
                <w:szCs w:val="20"/>
              </w:rPr>
              <w:t xml:space="preserve"> </w:t>
            </w:r>
            <w:r w:rsidR="00836855" w:rsidRPr="00B21652">
              <w:rPr>
                <w:sz w:val="20"/>
                <w:szCs w:val="20"/>
              </w:rPr>
              <w:t xml:space="preserve">If this product is used, it is crucial to apply after the tree is leafing out to </w:t>
            </w:r>
            <w:r w:rsidRPr="00B21652">
              <w:rPr>
                <w:sz w:val="20"/>
                <w:szCs w:val="20"/>
              </w:rPr>
              <w:t>avoid</w:t>
            </w:r>
            <w:r w:rsidR="00836855" w:rsidRPr="00B21652">
              <w:rPr>
                <w:sz w:val="20"/>
                <w:szCs w:val="20"/>
              </w:rPr>
              <w:t xml:space="preserve"> contamination of pollen. </w:t>
            </w:r>
          </w:p>
          <w:p w:rsidR="004B27D5" w:rsidRPr="00B21652" w:rsidRDefault="00836855" w:rsidP="00A829D9">
            <w:pPr>
              <w:pStyle w:val="ListParagraph"/>
              <w:numPr>
                <w:ilvl w:val="0"/>
                <w:numId w:val="3"/>
              </w:numPr>
              <w:rPr>
                <w:sz w:val="20"/>
                <w:szCs w:val="20"/>
              </w:rPr>
            </w:pPr>
            <w:r w:rsidRPr="00B21652">
              <w:rPr>
                <w:sz w:val="20"/>
                <w:szCs w:val="20"/>
              </w:rPr>
              <w:t xml:space="preserve">It is crucial to </w:t>
            </w:r>
            <w:r w:rsidR="00A40FE9" w:rsidRPr="00B21652">
              <w:rPr>
                <w:sz w:val="20"/>
                <w:szCs w:val="20"/>
              </w:rPr>
              <w:t>avoid</w:t>
            </w:r>
            <w:r w:rsidRPr="00B21652">
              <w:rPr>
                <w:sz w:val="20"/>
                <w:szCs w:val="20"/>
              </w:rPr>
              <w:t xml:space="preserve"> applications when other flowering plants </w:t>
            </w:r>
            <w:r w:rsidR="00A40FE9" w:rsidRPr="00B21652">
              <w:rPr>
                <w:sz w:val="20"/>
                <w:szCs w:val="20"/>
              </w:rPr>
              <w:t>are nearby to avoid contamination of pollen and toxicity to honeybees.</w:t>
            </w:r>
          </w:p>
        </w:tc>
      </w:tr>
      <w:tr w:rsidR="004B27D5" w:rsidRPr="00B21652" w:rsidTr="004B27D5">
        <w:tc>
          <w:tcPr>
            <w:tcW w:w="3237" w:type="dxa"/>
          </w:tcPr>
          <w:p w:rsidR="004B27D5" w:rsidRPr="00B21652" w:rsidRDefault="00402F3E" w:rsidP="00A134BF">
            <w:pPr>
              <w:rPr>
                <w:sz w:val="20"/>
                <w:szCs w:val="20"/>
              </w:rPr>
            </w:pPr>
            <w:r w:rsidRPr="00B21652">
              <w:rPr>
                <w:sz w:val="20"/>
                <w:szCs w:val="20"/>
              </w:rPr>
              <w:t>Merit and many others</w:t>
            </w:r>
          </w:p>
          <w:p w:rsidR="00402F3E" w:rsidRDefault="00402F3E" w:rsidP="00A134BF">
            <w:pPr>
              <w:rPr>
                <w:sz w:val="20"/>
                <w:szCs w:val="20"/>
              </w:rPr>
            </w:pPr>
            <w:r w:rsidRPr="00B21652">
              <w:rPr>
                <w:sz w:val="20"/>
                <w:szCs w:val="20"/>
              </w:rPr>
              <w:t>(imidacloprid)</w:t>
            </w:r>
          </w:p>
          <w:p w:rsidR="00577A44" w:rsidRPr="00B21652" w:rsidRDefault="00577A44" w:rsidP="00A134BF">
            <w:pPr>
              <w:rPr>
                <w:sz w:val="20"/>
                <w:szCs w:val="20"/>
              </w:rPr>
            </w:pPr>
          </w:p>
          <w:p w:rsidR="00402F3E" w:rsidRPr="00B21652" w:rsidRDefault="00402F3E" w:rsidP="00A134BF">
            <w:pPr>
              <w:rPr>
                <w:sz w:val="20"/>
                <w:szCs w:val="20"/>
              </w:rPr>
            </w:pPr>
            <w:r w:rsidRPr="00B21652">
              <w:rPr>
                <w:sz w:val="20"/>
                <w:szCs w:val="20"/>
              </w:rPr>
              <w:t>Commercial product trade names:</w:t>
            </w:r>
          </w:p>
          <w:p w:rsidR="00402F3E" w:rsidRDefault="00402F3E" w:rsidP="00A134BF">
            <w:pPr>
              <w:rPr>
                <w:sz w:val="20"/>
                <w:szCs w:val="20"/>
              </w:rPr>
            </w:pPr>
            <w:r w:rsidRPr="00B21652">
              <w:rPr>
                <w:sz w:val="20"/>
                <w:szCs w:val="20"/>
              </w:rPr>
              <w:t>Merit, Criterion, Lesco Bandit, Xytect, Ima-Jet, Imicide, Pointer</w:t>
            </w:r>
          </w:p>
          <w:p w:rsidR="00577A44" w:rsidRPr="00B21652" w:rsidRDefault="00577A44" w:rsidP="00A134BF">
            <w:pPr>
              <w:rPr>
                <w:sz w:val="20"/>
                <w:szCs w:val="20"/>
              </w:rPr>
            </w:pPr>
          </w:p>
          <w:p w:rsidR="00402F3E" w:rsidRPr="00B21652" w:rsidRDefault="00402F3E" w:rsidP="00A134BF">
            <w:pPr>
              <w:rPr>
                <w:sz w:val="20"/>
                <w:szCs w:val="20"/>
              </w:rPr>
            </w:pPr>
            <w:r w:rsidRPr="00B21652">
              <w:rPr>
                <w:sz w:val="20"/>
                <w:szCs w:val="20"/>
              </w:rPr>
              <w:t>Homeowner product trade names:</w:t>
            </w:r>
          </w:p>
          <w:p w:rsidR="00402F3E" w:rsidRPr="00B21652" w:rsidRDefault="00402F3E" w:rsidP="00A134BF">
            <w:pPr>
              <w:rPr>
                <w:sz w:val="20"/>
                <w:szCs w:val="20"/>
              </w:rPr>
            </w:pPr>
            <w:r w:rsidRPr="00B21652">
              <w:rPr>
                <w:sz w:val="20"/>
                <w:szCs w:val="20"/>
              </w:rPr>
              <w:t xml:space="preserve">Bayer Advanced Tree &amp; Shrub Insect Control, </w:t>
            </w:r>
            <w:r w:rsidR="00577A44">
              <w:rPr>
                <w:sz w:val="20"/>
                <w:szCs w:val="20"/>
              </w:rPr>
              <w:t>Ferti-lome Tree &amp; Shrub Systemic Drench, Optrol, Ortho Bug-B-Gon Year-Long Tree &amp; Shrub Insect Control</w:t>
            </w:r>
          </w:p>
        </w:tc>
        <w:tc>
          <w:tcPr>
            <w:tcW w:w="3237" w:type="dxa"/>
          </w:tcPr>
          <w:p w:rsidR="004B27D5" w:rsidRPr="00B21652" w:rsidRDefault="00522507" w:rsidP="00522507">
            <w:pPr>
              <w:pStyle w:val="ListParagraph"/>
              <w:numPr>
                <w:ilvl w:val="0"/>
                <w:numId w:val="4"/>
              </w:numPr>
              <w:rPr>
                <w:sz w:val="20"/>
                <w:szCs w:val="20"/>
              </w:rPr>
            </w:pPr>
            <w:r w:rsidRPr="00B21652">
              <w:rPr>
                <w:sz w:val="20"/>
                <w:szCs w:val="20"/>
              </w:rPr>
              <w:t>Least expensive option.</w:t>
            </w:r>
          </w:p>
          <w:p w:rsidR="00522507" w:rsidRPr="00B21652" w:rsidRDefault="00522507" w:rsidP="00522507">
            <w:pPr>
              <w:pStyle w:val="ListParagraph"/>
              <w:numPr>
                <w:ilvl w:val="0"/>
                <w:numId w:val="4"/>
              </w:numPr>
              <w:rPr>
                <w:sz w:val="20"/>
                <w:szCs w:val="20"/>
              </w:rPr>
            </w:pPr>
            <w:r w:rsidRPr="00B21652">
              <w:rPr>
                <w:sz w:val="20"/>
                <w:szCs w:val="20"/>
              </w:rPr>
              <w:t>Available as a homeowner-applied product</w:t>
            </w:r>
            <w:r w:rsidR="00C22EEA">
              <w:rPr>
                <w:sz w:val="20"/>
                <w:szCs w:val="20"/>
              </w:rPr>
              <w:t xml:space="preserve"> and applied as a soil drench.</w:t>
            </w:r>
          </w:p>
          <w:p w:rsidR="00522507" w:rsidRPr="00B21652" w:rsidRDefault="00522507" w:rsidP="00522507">
            <w:pPr>
              <w:pStyle w:val="ListParagraph"/>
              <w:numPr>
                <w:ilvl w:val="0"/>
                <w:numId w:val="4"/>
              </w:numPr>
              <w:rPr>
                <w:sz w:val="20"/>
                <w:szCs w:val="20"/>
              </w:rPr>
            </w:pPr>
            <w:r w:rsidRPr="00B21652">
              <w:rPr>
                <w:sz w:val="20"/>
                <w:szCs w:val="20"/>
              </w:rPr>
              <w:t>A</w:t>
            </w:r>
            <w:r w:rsidR="00C22EEA">
              <w:rPr>
                <w:sz w:val="20"/>
                <w:szCs w:val="20"/>
              </w:rPr>
              <w:t>vailable as a commercial product and a</w:t>
            </w:r>
            <w:r w:rsidRPr="00B21652">
              <w:rPr>
                <w:sz w:val="20"/>
                <w:szCs w:val="20"/>
              </w:rPr>
              <w:t>pplied as a soil drench or soil injection.</w:t>
            </w:r>
          </w:p>
        </w:tc>
        <w:tc>
          <w:tcPr>
            <w:tcW w:w="3238" w:type="dxa"/>
          </w:tcPr>
          <w:p w:rsidR="004B27D5" w:rsidRPr="00B21652" w:rsidRDefault="00522507" w:rsidP="00522507">
            <w:pPr>
              <w:pStyle w:val="ListParagraph"/>
              <w:numPr>
                <w:ilvl w:val="0"/>
                <w:numId w:val="4"/>
              </w:numPr>
              <w:rPr>
                <w:sz w:val="20"/>
                <w:szCs w:val="20"/>
              </w:rPr>
            </w:pPr>
            <w:r w:rsidRPr="00B21652">
              <w:rPr>
                <w:sz w:val="20"/>
                <w:szCs w:val="20"/>
              </w:rPr>
              <w:t>Effectiveness is inconsistent and may be up to 60%.</w:t>
            </w:r>
          </w:p>
          <w:p w:rsidR="00522507" w:rsidRPr="00B21652" w:rsidRDefault="00522507" w:rsidP="00522507">
            <w:pPr>
              <w:pStyle w:val="ListParagraph"/>
              <w:numPr>
                <w:ilvl w:val="0"/>
                <w:numId w:val="4"/>
              </w:numPr>
              <w:rPr>
                <w:sz w:val="20"/>
                <w:szCs w:val="20"/>
              </w:rPr>
            </w:pPr>
            <w:r w:rsidRPr="00B21652">
              <w:rPr>
                <w:sz w:val="20"/>
                <w:szCs w:val="20"/>
              </w:rPr>
              <w:t>Effective for only one year.</w:t>
            </w:r>
          </w:p>
          <w:p w:rsidR="00522507" w:rsidRPr="00B21652" w:rsidRDefault="00522507" w:rsidP="00522507">
            <w:pPr>
              <w:pStyle w:val="ListParagraph"/>
              <w:numPr>
                <w:ilvl w:val="0"/>
                <w:numId w:val="4"/>
              </w:numPr>
              <w:rPr>
                <w:sz w:val="20"/>
                <w:szCs w:val="20"/>
              </w:rPr>
            </w:pPr>
            <w:r w:rsidRPr="00B21652">
              <w:rPr>
                <w:sz w:val="20"/>
                <w:szCs w:val="20"/>
              </w:rPr>
              <w:t>Highly toxic to bees</w:t>
            </w:r>
            <w:r w:rsidR="007A710A">
              <w:rPr>
                <w:sz w:val="20"/>
                <w:szCs w:val="20"/>
              </w:rPr>
              <w:t xml:space="preserve"> and other animals</w:t>
            </w:r>
            <w:r w:rsidRPr="00B21652">
              <w:rPr>
                <w:sz w:val="20"/>
                <w:szCs w:val="20"/>
              </w:rPr>
              <w:t>.</w:t>
            </w:r>
          </w:p>
          <w:p w:rsidR="00522507" w:rsidRPr="00B21652" w:rsidRDefault="00522507" w:rsidP="00522507">
            <w:pPr>
              <w:pStyle w:val="ListParagraph"/>
              <w:numPr>
                <w:ilvl w:val="0"/>
                <w:numId w:val="4"/>
              </w:numPr>
              <w:rPr>
                <w:sz w:val="20"/>
                <w:szCs w:val="20"/>
              </w:rPr>
            </w:pPr>
            <w:r w:rsidRPr="00B21652">
              <w:rPr>
                <w:sz w:val="20"/>
                <w:szCs w:val="20"/>
              </w:rPr>
              <w:t xml:space="preserve">Toxic to earthworms and </w:t>
            </w:r>
            <w:r w:rsidR="007A710A">
              <w:rPr>
                <w:sz w:val="20"/>
                <w:szCs w:val="20"/>
              </w:rPr>
              <w:t xml:space="preserve">other soil organisms and </w:t>
            </w:r>
            <w:r w:rsidRPr="00B21652">
              <w:rPr>
                <w:sz w:val="20"/>
                <w:szCs w:val="20"/>
              </w:rPr>
              <w:t>may persist in soil for years.</w:t>
            </w:r>
          </w:p>
        </w:tc>
        <w:tc>
          <w:tcPr>
            <w:tcW w:w="3238" w:type="dxa"/>
          </w:tcPr>
          <w:p w:rsidR="004B27D5" w:rsidRPr="00B21652" w:rsidRDefault="00A829D9" w:rsidP="00A829D9">
            <w:pPr>
              <w:pStyle w:val="ListParagraph"/>
              <w:numPr>
                <w:ilvl w:val="0"/>
                <w:numId w:val="4"/>
              </w:numPr>
              <w:rPr>
                <w:sz w:val="20"/>
                <w:szCs w:val="20"/>
              </w:rPr>
            </w:pPr>
            <w:r w:rsidRPr="00B21652">
              <w:rPr>
                <w:sz w:val="20"/>
                <w:szCs w:val="20"/>
              </w:rPr>
              <w:t>Some commercial products are applied via trunk injection by a licensed pesticide applicator.</w:t>
            </w:r>
          </w:p>
          <w:p w:rsidR="00A829D9" w:rsidRPr="00B21652" w:rsidRDefault="00A829D9" w:rsidP="00A829D9">
            <w:pPr>
              <w:pStyle w:val="ListParagraph"/>
              <w:numPr>
                <w:ilvl w:val="0"/>
                <w:numId w:val="4"/>
              </w:numPr>
              <w:rPr>
                <w:sz w:val="20"/>
                <w:szCs w:val="20"/>
              </w:rPr>
            </w:pPr>
            <w:r w:rsidRPr="00B21652">
              <w:rPr>
                <w:sz w:val="20"/>
                <w:szCs w:val="20"/>
              </w:rPr>
              <w:t xml:space="preserve">If this product is used, it is crucial to apply after the tree is leafing out to avoid contamination of pollen. </w:t>
            </w:r>
          </w:p>
          <w:p w:rsidR="00A829D9" w:rsidRPr="00B21652" w:rsidRDefault="00A829D9" w:rsidP="00A829D9">
            <w:pPr>
              <w:pStyle w:val="ListParagraph"/>
              <w:numPr>
                <w:ilvl w:val="0"/>
                <w:numId w:val="4"/>
              </w:numPr>
              <w:rPr>
                <w:sz w:val="20"/>
                <w:szCs w:val="20"/>
              </w:rPr>
            </w:pPr>
            <w:r w:rsidRPr="00B21652">
              <w:rPr>
                <w:sz w:val="20"/>
                <w:szCs w:val="20"/>
              </w:rPr>
              <w:t>It is crucial to avoid applications when other flowering plants are nearby to avoid contamination of pollen and toxicity to honeybees.</w:t>
            </w:r>
          </w:p>
        </w:tc>
      </w:tr>
      <w:tr w:rsidR="004B27D5" w:rsidTr="004B27D5">
        <w:tc>
          <w:tcPr>
            <w:tcW w:w="3237" w:type="dxa"/>
          </w:tcPr>
          <w:p w:rsidR="004B27D5" w:rsidRPr="00C22EEA" w:rsidRDefault="00C22EEA" w:rsidP="00A134BF">
            <w:pPr>
              <w:rPr>
                <w:sz w:val="20"/>
                <w:szCs w:val="20"/>
              </w:rPr>
            </w:pPr>
            <w:r w:rsidRPr="00C22EEA">
              <w:rPr>
                <w:sz w:val="20"/>
                <w:szCs w:val="20"/>
              </w:rPr>
              <w:t>Astro, Onyx, Tempo and many others</w:t>
            </w:r>
          </w:p>
          <w:p w:rsidR="00C22EEA" w:rsidRPr="00C22EEA" w:rsidRDefault="00C22EEA" w:rsidP="00A134BF">
            <w:pPr>
              <w:rPr>
                <w:sz w:val="20"/>
                <w:szCs w:val="20"/>
              </w:rPr>
            </w:pPr>
            <w:r w:rsidRPr="00C22EEA">
              <w:rPr>
                <w:sz w:val="20"/>
                <w:szCs w:val="20"/>
              </w:rPr>
              <w:t>(various chemicals)</w:t>
            </w:r>
          </w:p>
        </w:tc>
        <w:tc>
          <w:tcPr>
            <w:tcW w:w="3237" w:type="dxa"/>
          </w:tcPr>
          <w:p w:rsidR="00F9173B" w:rsidRPr="00F9173B" w:rsidRDefault="00F9173B" w:rsidP="00F9173B">
            <w:pPr>
              <w:pStyle w:val="ListParagraph"/>
              <w:numPr>
                <w:ilvl w:val="0"/>
                <w:numId w:val="8"/>
              </w:numPr>
              <w:rPr>
                <w:sz w:val="20"/>
                <w:szCs w:val="20"/>
              </w:rPr>
            </w:pPr>
            <w:r>
              <w:rPr>
                <w:sz w:val="20"/>
                <w:szCs w:val="20"/>
              </w:rPr>
              <w:t xml:space="preserve">No wounding of tree in application. </w:t>
            </w:r>
          </w:p>
        </w:tc>
        <w:tc>
          <w:tcPr>
            <w:tcW w:w="3238" w:type="dxa"/>
          </w:tcPr>
          <w:p w:rsidR="004B27D5" w:rsidRDefault="00C22EEA" w:rsidP="00C22EEA">
            <w:pPr>
              <w:pStyle w:val="ListParagraph"/>
              <w:numPr>
                <w:ilvl w:val="0"/>
                <w:numId w:val="6"/>
              </w:numPr>
              <w:rPr>
                <w:sz w:val="20"/>
                <w:szCs w:val="20"/>
              </w:rPr>
            </w:pPr>
            <w:r w:rsidRPr="00C22EEA">
              <w:rPr>
                <w:sz w:val="20"/>
                <w:szCs w:val="20"/>
              </w:rPr>
              <w:t>Effectiveness is dependent upon thorough coverage of the entire tree.</w:t>
            </w:r>
          </w:p>
          <w:p w:rsidR="00C22EEA" w:rsidRPr="00C22EEA" w:rsidRDefault="00C22EEA" w:rsidP="00C22EEA">
            <w:pPr>
              <w:pStyle w:val="ListParagraph"/>
              <w:numPr>
                <w:ilvl w:val="0"/>
                <w:numId w:val="6"/>
              </w:numPr>
              <w:rPr>
                <w:sz w:val="20"/>
                <w:szCs w:val="20"/>
              </w:rPr>
            </w:pPr>
            <w:r>
              <w:rPr>
                <w:sz w:val="20"/>
                <w:szCs w:val="20"/>
              </w:rPr>
              <w:t>High environmental risk of spray drifting onto flowering plants visited by bees.</w:t>
            </w:r>
          </w:p>
        </w:tc>
        <w:tc>
          <w:tcPr>
            <w:tcW w:w="3238" w:type="dxa"/>
          </w:tcPr>
          <w:p w:rsidR="00577A44" w:rsidRDefault="00577A44" w:rsidP="000E33EB">
            <w:pPr>
              <w:pStyle w:val="ListParagraph"/>
              <w:numPr>
                <w:ilvl w:val="0"/>
                <w:numId w:val="6"/>
              </w:numPr>
              <w:rPr>
                <w:sz w:val="20"/>
                <w:szCs w:val="20"/>
              </w:rPr>
            </w:pPr>
            <w:r w:rsidRPr="00C22EEA">
              <w:rPr>
                <w:sz w:val="20"/>
                <w:szCs w:val="20"/>
              </w:rPr>
              <w:t>Apply as a whole tree spray twice a year.</w:t>
            </w:r>
          </w:p>
          <w:p w:rsidR="004B27D5" w:rsidRDefault="000E33EB" w:rsidP="000E33EB">
            <w:pPr>
              <w:pStyle w:val="ListParagraph"/>
              <w:numPr>
                <w:ilvl w:val="0"/>
                <w:numId w:val="6"/>
              </w:numPr>
              <w:rPr>
                <w:sz w:val="20"/>
                <w:szCs w:val="20"/>
              </w:rPr>
            </w:pPr>
            <w:r>
              <w:rPr>
                <w:sz w:val="20"/>
                <w:szCs w:val="20"/>
              </w:rPr>
              <w:t>Sprayed on trunk, branches, and sometimes foliage to kill adult EAB beetles and newly hatched larvae.</w:t>
            </w:r>
          </w:p>
          <w:p w:rsidR="000E33EB" w:rsidRPr="000E33EB" w:rsidRDefault="000E33EB" w:rsidP="000E33EB">
            <w:pPr>
              <w:pStyle w:val="ListParagraph"/>
              <w:numPr>
                <w:ilvl w:val="0"/>
                <w:numId w:val="6"/>
              </w:numPr>
              <w:rPr>
                <w:sz w:val="20"/>
                <w:szCs w:val="20"/>
              </w:rPr>
            </w:pPr>
            <w:r>
              <w:rPr>
                <w:sz w:val="20"/>
                <w:szCs w:val="20"/>
              </w:rPr>
              <w:t>Will have no effect on larvae feeding under the bark.</w:t>
            </w:r>
          </w:p>
        </w:tc>
      </w:tr>
    </w:tbl>
    <w:p w:rsidR="004B27D5" w:rsidRDefault="004B27D5" w:rsidP="00A134BF">
      <w:pPr>
        <w:spacing w:after="0"/>
        <w:rPr>
          <w:sz w:val="24"/>
          <w:szCs w:val="24"/>
        </w:rPr>
      </w:pPr>
    </w:p>
    <w:p w:rsidR="00A134BF" w:rsidRDefault="00A134BF">
      <w:pPr>
        <w:rPr>
          <w:sz w:val="24"/>
          <w:szCs w:val="24"/>
        </w:rPr>
      </w:pPr>
    </w:p>
    <w:p w:rsidR="00A134BF" w:rsidRPr="00A134BF" w:rsidRDefault="00A134BF">
      <w:pPr>
        <w:rPr>
          <w:sz w:val="24"/>
          <w:szCs w:val="24"/>
        </w:rPr>
      </w:pPr>
    </w:p>
    <w:sectPr w:rsidR="00A134BF" w:rsidRPr="00A134BF" w:rsidSect="00021925">
      <w:pgSz w:w="15840" w:h="12240" w:orient="landscape"/>
      <w:pgMar w:top="100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3B8"/>
    <w:multiLevelType w:val="hybridMultilevel"/>
    <w:tmpl w:val="D1C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96BB1"/>
    <w:multiLevelType w:val="hybridMultilevel"/>
    <w:tmpl w:val="56F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42803"/>
    <w:multiLevelType w:val="hybridMultilevel"/>
    <w:tmpl w:val="5EE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73729"/>
    <w:multiLevelType w:val="hybridMultilevel"/>
    <w:tmpl w:val="2202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E4995"/>
    <w:multiLevelType w:val="hybridMultilevel"/>
    <w:tmpl w:val="525C2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6D6CFD"/>
    <w:multiLevelType w:val="hybridMultilevel"/>
    <w:tmpl w:val="C8F0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2B3D4E"/>
    <w:multiLevelType w:val="hybridMultilevel"/>
    <w:tmpl w:val="952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6C794B"/>
    <w:multiLevelType w:val="hybridMultilevel"/>
    <w:tmpl w:val="F032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F"/>
    <w:rsid w:val="00021925"/>
    <w:rsid w:val="000E33EB"/>
    <w:rsid w:val="00245053"/>
    <w:rsid w:val="00281EDD"/>
    <w:rsid w:val="002C4629"/>
    <w:rsid w:val="0031235C"/>
    <w:rsid w:val="00402F3E"/>
    <w:rsid w:val="004B27D5"/>
    <w:rsid w:val="00522507"/>
    <w:rsid w:val="00577A44"/>
    <w:rsid w:val="007A710A"/>
    <w:rsid w:val="007B2AFE"/>
    <w:rsid w:val="00836855"/>
    <w:rsid w:val="00891450"/>
    <w:rsid w:val="0093708D"/>
    <w:rsid w:val="00A134BF"/>
    <w:rsid w:val="00A255BE"/>
    <w:rsid w:val="00A40FE9"/>
    <w:rsid w:val="00A829D9"/>
    <w:rsid w:val="00AF4D04"/>
    <w:rsid w:val="00B21652"/>
    <w:rsid w:val="00C22EEA"/>
    <w:rsid w:val="00F9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A541-53DD-440D-AD0D-EFBC2058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5BE"/>
    <w:pPr>
      <w:ind w:left="720"/>
      <w:contextualSpacing/>
    </w:pPr>
  </w:style>
  <w:style w:type="paragraph" w:styleId="BalloonText">
    <w:name w:val="Balloon Text"/>
    <w:basedOn w:val="Normal"/>
    <w:link w:val="BalloonTextChar"/>
    <w:uiPriority w:val="99"/>
    <w:semiHidden/>
    <w:unhideWhenUsed/>
    <w:rsid w:val="00891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50"/>
    <w:rPr>
      <w:rFonts w:ascii="Segoe UI" w:hAnsi="Segoe UI" w:cs="Segoe UI"/>
      <w:sz w:val="18"/>
      <w:szCs w:val="18"/>
    </w:rPr>
  </w:style>
  <w:style w:type="character" w:styleId="Hyperlink">
    <w:name w:val="Hyperlink"/>
    <w:basedOn w:val="DefaultParagraphFont"/>
    <w:uiPriority w:val="99"/>
    <w:unhideWhenUsed/>
    <w:rsid w:val="00937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asza@cityofwestminste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8898-AA5A-413A-98B9-26A63E19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Kasza, John</dc:creator>
  <cp:keywords/>
  <dc:description/>
  <cp:lastModifiedBy>Kasza, John</cp:lastModifiedBy>
  <cp:revision>4</cp:revision>
  <cp:lastPrinted>2015-04-08T23:39:00Z</cp:lastPrinted>
  <dcterms:created xsi:type="dcterms:W3CDTF">2015-04-09T17:15:00Z</dcterms:created>
  <dcterms:modified xsi:type="dcterms:W3CDTF">2015-04-16T20:50:00Z</dcterms:modified>
</cp:coreProperties>
</file>